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A847C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6C4E0D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2289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2289A" w:rsidRPr="0092289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A847C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C4E0D" w:rsidRPr="00A847CC">
              <w:rPr>
                <w:b/>
                <w:sz w:val="22"/>
                <w:szCs w:val="22"/>
              </w:rPr>
              <w:t>PODSTAWY PRAWNE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1C387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A847CC">
              <w:rPr>
                <w:b/>
                <w:sz w:val="22"/>
                <w:szCs w:val="22"/>
              </w:rPr>
              <w:t>3</w:t>
            </w:r>
            <w:r w:rsidR="001C387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A847C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4E0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BD6E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BD6ED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A847CC" w:rsidP="00FC3315">
            <w:pPr>
              <w:rPr>
                <w:sz w:val="22"/>
                <w:szCs w:val="22"/>
              </w:rPr>
            </w:pPr>
            <w:r w:rsidRPr="00C5348A">
              <w:rPr>
                <w:b/>
              </w:rPr>
              <w:t>II/</w:t>
            </w:r>
            <w:r>
              <w:rPr>
                <w:b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A847CC" w:rsidP="00A84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847CC" w:rsidRPr="00A847CC" w:rsidRDefault="003A4A85" w:rsidP="00A84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A847CC" w:rsidRPr="00A847CC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847CC" w:rsidRDefault="003A4A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bookmarkStart w:id="0" w:name="_GoBack"/>
            <w:bookmarkEnd w:id="0"/>
            <w:r w:rsidR="00A847CC" w:rsidRPr="00A847CC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847CC" w:rsidRDefault="00A847CC" w:rsidP="00BF53EC">
            <w:pPr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Zapoznanie studentów z podstawami  prawnymi funkcjonowania mechanizmów bezpieczeństwa międzynarodowego  oraz ze specyfiką funkcjonowania podmiotów międzynarodowych  działających w sferze bezpieczeństwa, a także z podstawami prawnymi bezpieczeństwa narodowego i funkcjonowaniem struktur państwa  kluczowych w systemie bezpieczeństwa narodowego w celu dostrzegania związków i zależności między prawem krajowym, a prawem  europejskim i międzynarodowym oraz rozpoznaniem działań kluczowych struktur państwa w stanach nadzwyczajnych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847CC" w:rsidRDefault="00A847CC" w:rsidP="00FC3315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Znajomość p</w:t>
            </w:r>
            <w:r w:rsidRPr="00A847CC">
              <w:rPr>
                <w:noProof/>
                <w:sz w:val="22"/>
                <w:szCs w:val="22"/>
              </w:rPr>
              <w:t>odstaw prawa konstytucyjnego.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8164DB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B12D71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2D71">
              <w:rPr>
                <w:rFonts w:ascii="Times New Roman" w:eastAsia="Arial Unicode MS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Arial Unicode MS" w:hAnsi="Times New Roman"/>
                <w:sz w:val="22"/>
                <w:szCs w:val="22"/>
              </w:rPr>
              <w:t xml:space="preserve">Ma wiedzę w zakresie </w:t>
            </w:r>
            <w:r w:rsidRPr="00B12D71">
              <w:rPr>
                <w:rFonts w:ascii="Times New Roman" w:eastAsia="Arial Unicode MS" w:hAnsi="Times New Roman"/>
                <w:sz w:val="22"/>
                <w:szCs w:val="22"/>
              </w:rPr>
              <w:t>stanowienia, obowiązywania i stosowania  prawa w obszarze bezpieczeństwa</w:t>
            </w:r>
            <w:r>
              <w:rPr>
                <w:rFonts w:ascii="Times New Roman" w:eastAsia="Arial Unicode MS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K1P_W02</w:t>
            </w:r>
          </w:p>
        </w:tc>
      </w:tr>
      <w:tr w:rsidR="008164DB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B12D71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2D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Arial Unicode MS" w:hAnsi="Times New Roman"/>
                <w:sz w:val="22"/>
                <w:szCs w:val="22"/>
              </w:rPr>
              <w:t xml:space="preserve">Ma wiedzę w zakresie </w:t>
            </w:r>
            <w:r w:rsidRPr="00B12D71">
              <w:rPr>
                <w:rFonts w:ascii="Times New Roman" w:hAnsi="Times New Roman"/>
                <w:sz w:val="22"/>
                <w:szCs w:val="22"/>
              </w:rPr>
              <w:t>funkcji i roli instytucji ustrojowych w państwie w obszarze zapewnienia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K1P_W04</w:t>
            </w:r>
          </w:p>
        </w:tc>
      </w:tr>
      <w:tr w:rsidR="008164DB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B12D71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/>
                <w:sz w:val="22"/>
                <w:szCs w:val="22"/>
              </w:rPr>
              <w:t xml:space="preserve">Ma wiedzę w zakresie </w:t>
            </w:r>
            <w:r w:rsidRPr="00B12D71">
              <w:rPr>
                <w:rFonts w:ascii="Times New Roman" w:hAnsi="Times New Roman"/>
                <w:sz w:val="22"/>
                <w:szCs w:val="22"/>
              </w:rPr>
              <w:t xml:space="preserve">ogólnych zagadnień z zakresu </w:t>
            </w:r>
            <w:r>
              <w:rPr>
                <w:rFonts w:ascii="Times New Roman" w:hAnsi="Times New Roman"/>
                <w:sz w:val="22"/>
                <w:szCs w:val="22"/>
              </w:rPr>
              <w:t>stanów nadzwyczajnych w państwie.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K1P_W06</w:t>
            </w:r>
          </w:p>
        </w:tc>
      </w:tr>
      <w:tr w:rsidR="008164DB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B12D71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12D7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Arial Unicode MS" w:hAnsi="Times New Roman"/>
                <w:sz w:val="22"/>
                <w:szCs w:val="22"/>
              </w:rPr>
              <w:t xml:space="preserve">Ma wiedzę w zakresie </w:t>
            </w:r>
            <w:r w:rsidRPr="00B12D71">
              <w:rPr>
                <w:rFonts w:ascii="Times New Roman" w:hAnsi="Times New Roman"/>
                <w:sz w:val="22"/>
                <w:szCs w:val="22"/>
              </w:rPr>
              <w:t>procedur właściwych działaniu administracji publicznej w sytuacji wprowadzenia stanów nadzwyczajnych w państwie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K1P_W10</w:t>
            </w:r>
          </w:p>
        </w:tc>
      </w:tr>
      <w:tr w:rsidR="008164DB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5948D7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Pr="005948D7">
              <w:rPr>
                <w:rFonts w:ascii="Times New Roman" w:hAnsi="Times New Roman"/>
                <w:sz w:val="22"/>
                <w:szCs w:val="22"/>
              </w:rPr>
              <w:t>zasad polskiego prawa regulującego funkcjonowanie administracji publicznej w stanach nadzwyczajnych w państwie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</w:t>
            </w:r>
            <w:r>
              <w:rPr>
                <w:sz w:val="22"/>
                <w:szCs w:val="22"/>
              </w:rPr>
              <w:t>_</w:t>
            </w:r>
            <w:r w:rsidRPr="00EA5D65">
              <w:rPr>
                <w:sz w:val="22"/>
                <w:szCs w:val="22"/>
              </w:rPr>
              <w:t>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3F210A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8164DB" w:rsidRPr="009E7B8A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A050B7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A050B7">
              <w:rPr>
                <w:rFonts w:ascii="Times New Roman" w:hAnsi="Times New Roman"/>
                <w:sz w:val="22"/>
                <w:szCs w:val="22"/>
              </w:rPr>
              <w:t>charakteryzować działania głównych organów państwa w zakresie bezpieczeństwa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K1P_U03</w:t>
            </w:r>
          </w:p>
        </w:tc>
      </w:tr>
      <w:tr w:rsidR="008164DB" w:rsidRPr="009E7B8A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A050B7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A050B7">
              <w:rPr>
                <w:rFonts w:ascii="Times New Roman" w:hAnsi="Times New Roman"/>
                <w:sz w:val="22"/>
                <w:szCs w:val="22"/>
              </w:rPr>
              <w:t xml:space="preserve">dobierać przepisy prawne możliwe do zastosowania </w:t>
            </w:r>
            <w:r w:rsidRPr="00A050B7">
              <w:rPr>
                <w:rFonts w:ascii="Times New Roman" w:hAnsi="Times New Roman"/>
                <w:sz w:val="22"/>
                <w:szCs w:val="22"/>
              </w:rPr>
              <w:br/>
              <w:t>w sytuacji zagrożenia bezpieczeństwa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K1P_U06</w:t>
            </w:r>
          </w:p>
        </w:tc>
      </w:tr>
      <w:tr w:rsidR="008164DB" w:rsidRPr="009E7B8A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DB" w:rsidRPr="00EA5D65" w:rsidRDefault="008164DB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4DB" w:rsidRPr="00A050B7" w:rsidRDefault="008164DB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A050B7">
              <w:rPr>
                <w:rFonts w:ascii="Times New Roman" w:hAnsi="Times New Roman"/>
                <w:sz w:val="22"/>
                <w:szCs w:val="22"/>
              </w:rPr>
              <w:t>charakteryzować system bezpiecze</w:t>
            </w:r>
            <w:r w:rsidRPr="00A050B7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Pr="00A050B7">
              <w:rPr>
                <w:rFonts w:ascii="Times New Roman" w:hAnsi="Times New Roman"/>
                <w:sz w:val="22"/>
                <w:szCs w:val="22"/>
              </w:rPr>
              <w:t>stwa państwa na wszystkich poziomach jego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DB" w:rsidRPr="00EA5D65" w:rsidRDefault="008164DB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3F210A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F735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35E" w:rsidRPr="00EA5D65" w:rsidRDefault="00CF735E" w:rsidP="00675EAE">
            <w:pPr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35E" w:rsidRPr="00EA5D65" w:rsidRDefault="00CF735E" w:rsidP="003F210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A5D65">
              <w:rPr>
                <w:rFonts w:ascii="Times New Roman" w:hAnsi="Times New Roman"/>
                <w:sz w:val="22"/>
                <w:szCs w:val="22"/>
              </w:rPr>
              <w:t>Identyfikuje i rozstrzyga dylematy etyczne związane  z wykonywaną pracą w obszarze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35E" w:rsidRPr="00EA5D65" w:rsidRDefault="00CF735E" w:rsidP="00675EAE">
            <w:pPr>
              <w:jc w:val="center"/>
              <w:rPr>
                <w:sz w:val="22"/>
                <w:szCs w:val="22"/>
              </w:rPr>
            </w:pPr>
            <w:r w:rsidRPr="00EA5D65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23729" w:rsidRPr="000E63E0" w:rsidRDefault="00F23729" w:rsidP="00F23729">
            <w:pPr>
              <w:jc w:val="both"/>
              <w:rPr>
                <w:sz w:val="22"/>
                <w:szCs w:val="22"/>
              </w:rPr>
            </w:pPr>
            <w:r w:rsidRPr="000E63E0">
              <w:rPr>
                <w:sz w:val="22"/>
                <w:szCs w:val="22"/>
              </w:rPr>
              <w:t>Pojęcie bezpieczeństwa państwa. Istota bezpiec</w:t>
            </w:r>
            <w:r w:rsidR="003F210A">
              <w:rPr>
                <w:sz w:val="22"/>
                <w:szCs w:val="22"/>
              </w:rPr>
              <w:t>zeństwa narodowego jako procesu;</w:t>
            </w:r>
            <w:r w:rsidRPr="000E63E0">
              <w:rPr>
                <w:sz w:val="22"/>
                <w:szCs w:val="22"/>
              </w:rPr>
              <w:t xml:space="preserve"> Typologia bezpieczeństwa;</w:t>
            </w:r>
          </w:p>
          <w:p w:rsidR="00FC3315" w:rsidRPr="00A847CC" w:rsidRDefault="00F23729" w:rsidP="00F23729">
            <w:pPr>
              <w:jc w:val="both"/>
              <w:rPr>
                <w:sz w:val="22"/>
                <w:szCs w:val="22"/>
              </w:rPr>
            </w:pPr>
            <w:r w:rsidRPr="000E63E0">
              <w:rPr>
                <w:sz w:val="22"/>
                <w:szCs w:val="22"/>
              </w:rPr>
              <w:t>Doktrynalne i instytucjo</w:t>
            </w:r>
            <w:r w:rsidR="003F210A">
              <w:rPr>
                <w:sz w:val="22"/>
                <w:szCs w:val="22"/>
              </w:rPr>
              <w:t>nalne przesłanki bezpieczeństwa;</w:t>
            </w:r>
            <w:r w:rsidRPr="000E63E0">
              <w:rPr>
                <w:sz w:val="22"/>
                <w:szCs w:val="22"/>
              </w:rPr>
              <w:t xml:space="preserve"> Prognoza rozwoju bezpieczeństwa państwa;  System źródeł prawa w sferze bezpieczeństwa; Prawnomiędzynarodowe gwarancje bezpiecze</w:t>
            </w:r>
            <w:r w:rsidR="003F210A">
              <w:rPr>
                <w:sz w:val="22"/>
                <w:szCs w:val="22"/>
              </w:rPr>
              <w:t>ństwa Rzeczypospolitej Polskiej;</w:t>
            </w:r>
            <w:r w:rsidRPr="000E63E0">
              <w:rPr>
                <w:sz w:val="22"/>
                <w:szCs w:val="22"/>
              </w:rPr>
              <w:t xml:space="preserve"> Karta Narodów Zjednoczonych; Międzynarodowe prawo humanitarne konfliktów zbrojnych. Konwencje genewskie i konwencje haskie;  </w:t>
            </w:r>
            <w:r w:rsidRPr="000E63E0">
              <w:rPr>
                <w:bCs/>
                <w:sz w:val="22"/>
                <w:szCs w:val="22"/>
              </w:rPr>
              <w:t xml:space="preserve">Inne dokumenty międzynarodowe współtworzące współczesne  prawo humanitarne; </w:t>
            </w:r>
            <w:r w:rsidRPr="000E63E0">
              <w:rPr>
                <w:sz w:val="22"/>
                <w:szCs w:val="22"/>
              </w:rPr>
              <w:t>Instrumenty prawne i mechanizmy OBWE na rzecz bezpieczeństwa;  Bezpieczeństwo RP w kontekście członkowstwa w UE i NATO; Konstytucyjne i ustawowe zadania i obowiązki organów państwa w zakresie bezpieczeństwa;  Stany nadzwyczajne i konstytucyjne warunki ich wprowadzania; .Zasady działania organów władzy publicznej w stanach nadzwyczajnych; Prawne ograniczenia konstytucyjnych praw i wolności jednostki dopuszczalne w okresie obowiązywania stanów nadzwyczajnych; Regulacje prawne systemu zarządzania kryzysowego RP;</w:t>
            </w:r>
            <w:r>
              <w:rPr>
                <w:sz w:val="22"/>
                <w:szCs w:val="22"/>
              </w:rPr>
              <w:t xml:space="preserve"> </w:t>
            </w:r>
            <w:r w:rsidRPr="000E63E0">
              <w:rPr>
                <w:sz w:val="22"/>
                <w:szCs w:val="22"/>
              </w:rPr>
              <w:t>Podstawy prawne i przepisy wykonawcze regulujące obowiązki oraz ograniczenia wynikające z wprowadzania kolejnych stopni alarmowych przy zagrożeniu terrorystycznym; Repetytorium.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A847CC" w:rsidRDefault="00FC3315" w:rsidP="00FC3315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F23729" w:rsidRDefault="00F23729" w:rsidP="00F23729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F23729">
              <w:rPr>
                <w:rFonts w:ascii="Times New Roman" w:hAnsi="Times New Roman" w:cs="Times New Roman"/>
                <w:lang w:val="pl-PL"/>
              </w:rPr>
              <w:t xml:space="preserve">Ogólne zasady prawa międzynarodowego, a zasady  Karty Narodów Zjednoczonych; Konwencje genewskie-cel, skutki;  Konwencje haskie- cel, skutki; Odpowiedzialność za nieprzestrzeganie międzynarodowego prawa humanitarnego; Dopuszczalność użycia siły zbrojnej w prawie międzynarodowym; Regionalne organizacje bezpieczeństwa w oparciu o postanowienia KNZ; Przykłady naruszeń międzynarodowego prawa humanitarnego- kazusy;  Podstawy prawne wspólnej polityki zagranicznej  i bezpieczeństwa  UE; Podstawy prawne współpracy instytucjonalnej w obszarze bezpieczeństwa  UE; Konstytucja RP jako podstawowy akt prawny w sferze bezpieczeństwa; Regulacje prawne dotyczące stanów nadzwyczajnych w państwie; Administracja publiczna w stanach nadzwyczajnych; </w:t>
            </w:r>
            <w:r w:rsidRPr="00F23729">
              <w:rPr>
                <w:rFonts w:ascii="Times New Roman" w:hAnsi="Times New Roman" w:cs="Times New Roman"/>
                <w:bCs/>
                <w:lang w:val="pl-PL"/>
              </w:rPr>
              <w:t xml:space="preserve">Podstawy prawne i przepisy wykonawcze dotyczące  użycia oddziałów i pododdziałów Policji oraz Sił Zbrojnych Rzeczypospolitej Polskiej w stanach nadzwyczajnych; </w:t>
            </w:r>
            <w:r w:rsidRPr="00F23729">
              <w:rPr>
                <w:rFonts w:ascii="Times New Roman" w:hAnsi="Times New Roman" w:cs="Times New Roman"/>
                <w:lang w:val="pl-PL"/>
              </w:rPr>
              <w:t>Regulacje prawne  dotyczące stanów gotowości obronnej państwa; Podstawy prawne i przepisy wykonawcze regulujące obowiązki oraz ograniczenia wynikające z wprowadzania kolejnych stopni alarmowych przy zagrożeniu terrorystycznym.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S. Koziej, Strategiczne środowisko bezpieczeństwa międzynarodowego i narodowego w okresie </w:t>
            </w:r>
            <w:proofErr w:type="spellStart"/>
            <w:r w:rsidRPr="00A847CC">
              <w:rPr>
                <w:sz w:val="22"/>
                <w:szCs w:val="22"/>
              </w:rPr>
              <w:t>pozimnowojennym</w:t>
            </w:r>
            <w:proofErr w:type="spellEnd"/>
            <w:r w:rsidRPr="00A847CC">
              <w:rPr>
                <w:sz w:val="22"/>
                <w:szCs w:val="22"/>
              </w:rPr>
              <w:t>, Skrypt internetowy, Warszawa/Ursynów 2010; www.koziej.pl;</w:t>
            </w:r>
          </w:p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Konstytucja RP z 2 kwietnia 1997 r. [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>. 1997, Nr 78, poz. 483];</w:t>
            </w:r>
          </w:p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Karta Narodów Zjednoczonych z 26 czerwca 1945 r.; 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>.  1947,nr 23, poz. 90;</w:t>
            </w:r>
          </w:p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21 listopada 1967 r. o powszechnym obowiązku obrony Rzeczypospolitej Polskiej [tekst jednolity, 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 xml:space="preserve">. 2004, Nr 241, poz. 2416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18 kwietnia 2002 r. o stanie klęski żywiołowej [ 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 xml:space="preserve">. 2002, Nr 62, poz. 558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21 czerwca 2002 r. o stanie wyjątkowym [ 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 xml:space="preserve">. 2002, Nr 113, poz. 985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3F210A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29 sierpnia 2002 r. o stanie wojennym oraz kompetencjach Naczelnego Dowódcy Sił Zbrojnych i zasadach jego podległości konstytucyjnym organom RP [ 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 xml:space="preserve">. 2002, Nr 156, poz. 1301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3F210A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Rozporządzenie Rady Ministrów z 21 września 2004 w sprawie stanów gotowości obronnej państwa [</w:t>
            </w:r>
            <w:proofErr w:type="spellStart"/>
            <w:r w:rsidRPr="00A847CC">
              <w:rPr>
                <w:rFonts w:ascii="Times New Roman" w:hAnsi="Times New Roman"/>
                <w:lang w:val="pl-PL"/>
              </w:rPr>
              <w:t>Dz.U</w:t>
            </w:r>
            <w:proofErr w:type="spellEnd"/>
            <w:r w:rsidRPr="00A847CC">
              <w:rPr>
                <w:rFonts w:ascii="Times New Roman" w:hAnsi="Times New Roman"/>
                <w:lang w:val="pl-PL"/>
              </w:rPr>
              <w:t>. 2004, Nr 219, poz. 2218].</w:t>
            </w:r>
          </w:p>
          <w:p w:rsidR="00A847CC" w:rsidRPr="00A847CC" w:rsidRDefault="00A847CC" w:rsidP="003F210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 xml:space="preserve">Konwencja o rozpoczęciu kroków nieprzyjacielskich, podpisana w Hadze dnia 18 października 1907 r. (Dz. U. z 1927 r. Nr 21, poz. 159); </w:t>
            </w:r>
          </w:p>
          <w:p w:rsidR="00A847CC" w:rsidRPr="00A847CC" w:rsidRDefault="00A847CC" w:rsidP="003F210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 xml:space="preserve">Konwencja dotycząca praw i zwyczajów wojny lądowej, podpisana wraz </w:t>
            </w:r>
            <w:r w:rsidRPr="00A847CC">
              <w:rPr>
                <w:rFonts w:ascii="Times New Roman" w:hAnsi="Times New Roman"/>
                <w:lang w:val="pl-PL"/>
              </w:rPr>
              <w:lastRenderedPageBreak/>
              <w:t>z odnośnym Regulaminem w Hadze dnia 18 października 1907 r. (Dz. U. z 1927 r. Nr 21, poz. 161);</w:t>
            </w:r>
          </w:p>
          <w:p w:rsidR="00A847CC" w:rsidRPr="00A847CC" w:rsidRDefault="00A847CC" w:rsidP="003F210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Konwencje o ochronie ofiar wojny, podpisane w Genewie dnia 12 sierpnia   1949 r. (Dz. U. z 1956 r. Nr 38, poz. 171, załącznik):</w:t>
            </w:r>
          </w:p>
          <w:p w:rsidR="00A847CC" w:rsidRPr="00A847CC" w:rsidRDefault="00A847CC" w:rsidP="003F210A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polepszeniu losu rannych i chorych w armiach czynnych,</w:t>
            </w:r>
          </w:p>
          <w:p w:rsidR="00A847CC" w:rsidRPr="00A847CC" w:rsidRDefault="00A847CC" w:rsidP="003F210A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polepszeniu losu rannych, chorych i rozbitków sił zbrojnych na morzu,</w:t>
            </w:r>
          </w:p>
          <w:p w:rsidR="00A847CC" w:rsidRPr="00A847CC" w:rsidRDefault="00A847CC" w:rsidP="003F210A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traktowaniu jeńców wojennych,</w:t>
            </w:r>
          </w:p>
          <w:p w:rsidR="00A847CC" w:rsidRPr="00A847CC" w:rsidRDefault="00A847CC" w:rsidP="003F210A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ochronie osób cywilnych podczas wojny;</w:t>
            </w:r>
          </w:p>
          <w:p w:rsidR="00A847CC" w:rsidRPr="00A847CC" w:rsidRDefault="00A847CC" w:rsidP="003F210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Protokoły dodatkowe do Konwencji genewskich z 12 sierpnia 1949 r., sporządzone w Genewie dnia 8 czerwca 1977 r. (Dz. U. z 1992 r. Nr 41, poz. 175, załącznik):</w:t>
            </w:r>
          </w:p>
          <w:p w:rsidR="00A847CC" w:rsidRPr="00A847CC" w:rsidRDefault="00A847CC" w:rsidP="003F210A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510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Protokół dodatkowy do Konwencji genewskich z 12 sierpnia 1949 r., dotyczący ochrony ofiar międzynarodowych konfliktów zbrojnych (Protokół I),</w:t>
            </w:r>
          </w:p>
          <w:p w:rsidR="00FC3315" w:rsidRPr="00A847CC" w:rsidRDefault="00A847CC" w:rsidP="003F210A">
            <w:pPr>
              <w:ind w:left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</w:t>
            </w:r>
            <w:r w:rsidRPr="00A847CC">
              <w:rPr>
                <w:sz w:val="22"/>
                <w:szCs w:val="22"/>
              </w:rPr>
              <w:t xml:space="preserve"> Protokół dodatkowy do Konwencji genewskich z 12 sierpnia 1949 r., dotyczący ochrony ofiar </w:t>
            </w:r>
            <w:proofErr w:type="spellStart"/>
            <w:r w:rsidRPr="00A847CC">
              <w:rPr>
                <w:sz w:val="22"/>
                <w:szCs w:val="22"/>
              </w:rPr>
              <w:t>niemiędzynarodowych</w:t>
            </w:r>
            <w:proofErr w:type="spellEnd"/>
            <w:r w:rsidRPr="00A847CC">
              <w:rPr>
                <w:sz w:val="22"/>
                <w:szCs w:val="22"/>
              </w:rPr>
              <w:t xml:space="preserve"> konfliktów zbrojnych (Protokół II);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847CC" w:rsidRPr="00A847CC" w:rsidRDefault="00A847CC" w:rsidP="003F210A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3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Rozporządzenie Rady Ministrów z 24 czerwca 2003 w sprawie obiektów szczególnie ważnych dla bezpieczeństwa i obronności państwa oraz ich szczególnej ochrony [</w:t>
            </w:r>
            <w:proofErr w:type="spellStart"/>
            <w:r w:rsidRPr="00A847CC">
              <w:rPr>
                <w:sz w:val="22"/>
                <w:szCs w:val="22"/>
              </w:rPr>
              <w:t>Dz.U</w:t>
            </w:r>
            <w:proofErr w:type="spellEnd"/>
            <w:r w:rsidRPr="00A847CC">
              <w:rPr>
                <w:sz w:val="22"/>
                <w:szCs w:val="22"/>
              </w:rPr>
              <w:t>. 2003, Nr 116, poz. 1090].</w:t>
            </w:r>
          </w:p>
          <w:p w:rsidR="00FC3315" w:rsidRPr="00A847CC" w:rsidRDefault="00A847CC" w:rsidP="003F210A">
            <w:pPr>
              <w:pStyle w:val="Akapitzlist"/>
              <w:numPr>
                <w:ilvl w:val="0"/>
                <w:numId w:val="4"/>
              </w:numPr>
              <w:ind w:left="283"/>
              <w:jc w:val="both"/>
              <w:rPr>
                <w:lang w:val="pl-PL"/>
              </w:rPr>
            </w:pPr>
            <w:r w:rsidRPr="00A847CC">
              <w:rPr>
                <w:rFonts w:ascii="Times New Roman" w:hAnsi="Times New Roman" w:cs="Times New Roman"/>
                <w:bCs/>
                <w:lang w:val="pl-PL"/>
              </w:rPr>
              <w:t xml:space="preserve">Zarządzenie  Nr 74 Prezesa Rady Ministrów </w:t>
            </w:r>
            <w:r w:rsidRPr="00A847CC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847CC">
              <w:rPr>
                <w:rFonts w:ascii="Times New Roman" w:hAnsi="Times New Roman" w:cs="Times New Roman"/>
                <w:bCs/>
                <w:lang w:val="pl-PL"/>
              </w:rPr>
              <w:t>z 12 października  2011 r. w sprawie przedsięwzięć i procedur systemu zarządzania kryzysowego;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03B67" w:rsidRPr="0021678C" w:rsidRDefault="00A03B67" w:rsidP="00A03B67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A03B67" w:rsidP="00A03B67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CF735E" w:rsidRPr="009E7B8A" w:rsidTr="006C3A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735E" w:rsidRPr="00A847CC" w:rsidRDefault="00CF735E" w:rsidP="002F1673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735E" w:rsidRPr="00A847CC" w:rsidRDefault="00CF735E" w:rsidP="0067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01, 02,03,</w:t>
            </w:r>
            <w:r w:rsidRPr="00A847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,07</w:t>
            </w:r>
          </w:p>
        </w:tc>
      </w:tr>
      <w:tr w:rsidR="00CF735E" w:rsidRPr="009E7B8A" w:rsidTr="006C3A46">
        <w:tc>
          <w:tcPr>
            <w:tcW w:w="8208" w:type="dxa"/>
            <w:gridSpan w:val="2"/>
            <w:vAlign w:val="center"/>
          </w:tcPr>
          <w:p w:rsidR="00CF735E" w:rsidRPr="00A847CC" w:rsidRDefault="00CF735E" w:rsidP="002F1673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Aktywność w trakcie zajęć</w:t>
            </w:r>
          </w:p>
        </w:tc>
        <w:tc>
          <w:tcPr>
            <w:tcW w:w="1800" w:type="dxa"/>
            <w:vAlign w:val="center"/>
          </w:tcPr>
          <w:p w:rsidR="00CF735E" w:rsidRPr="00A847CC" w:rsidRDefault="00CF735E" w:rsidP="0067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,08,09</w:t>
            </w:r>
          </w:p>
        </w:tc>
      </w:tr>
      <w:tr w:rsidR="00CF735E" w:rsidRPr="009E7B8A" w:rsidTr="006C3A46">
        <w:tc>
          <w:tcPr>
            <w:tcW w:w="8208" w:type="dxa"/>
            <w:gridSpan w:val="2"/>
            <w:vAlign w:val="center"/>
          </w:tcPr>
          <w:p w:rsidR="00CF735E" w:rsidRPr="00A847CC" w:rsidRDefault="00CF735E" w:rsidP="002F1673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Kolokwium z tematyki </w:t>
            </w:r>
            <w:r>
              <w:rPr>
                <w:sz w:val="22"/>
                <w:szCs w:val="22"/>
              </w:rPr>
              <w:t>ćwiczeń</w:t>
            </w:r>
          </w:p>
          <w:p w:rsidR="00CF735E" w:rsidRPr="00A847CC" w:rsidRDefault="00CF735E" w:rsidP="002F16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CF735E" w:rsidRDefault="00CF735E" w:rsidP="0067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02</w:t>
            </w:r>
            <w:r w:rsidRPr="00A847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3,</w:t>
            </w:r>
          </w:p>
          <w:p w:rsidR="00CF735E" w:rsidRPr="00A847CC" w:rsidRDefault="00CF735E" w:rsidP="0067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A847C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 05, 06</w:t>
            </w:r>
            <w:r w:rsidRPr="00A847CC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847C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47CC" w:rsidRPr="00A847CC" w:rsidRDefault="00A847CC" w:rsidP="00A847CC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Egzamin pisemny z tematyki przedmiotu            -60 % oceny końcowej</w:t>
            </w:r>
          </w:p>
          <w:p w:rsidR="00A847CC" w:rsidRPr="00A847CC" w:rsidRDefault="00A847CC" w:rsidP="00A847CC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Kolokwium z tematyki wykładów                        -30 % oceny końcowej.</w:t>
            </w:r>
          </w:p>
          <w:p w:rsidR="00FC3315" w:rsidRPr="003F210A" w:rsidRDefault="00A847CC" w:rsidP="00FC3315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Aktywność w trakcie zajęć                                   - 10 % oceny końcowej.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847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47C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847C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0B25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B25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B62FB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B25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37B4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B25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737B4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847CC" w:rsidRPr="009E7B8A" w:rsidRDefault="00A847CC" w:rsidP="00C40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</w:t>
            </w:r>
            <w:r w:rsidR="00C4047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0B25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37B4B"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847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60ABA" w:rsidRDefault="00D60ABA" w:rsidP="003F210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prawne-</w:t>
            </w:r>
            <w:r w:rsidR="0025540D">
              <w:rPr>
                <w:b/>
                <w:sz w:val="22"/>
                <w:szCs w:val="22"/>
              </w:rPr>
              <w:t>4,0</w:t>
            </w:r>
          </w:p>
          <w:p w:rsidR="00D60ABA" w:rsidRDefault="00D60ABA" w:rsidP="00D60A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bezpieczeństwie-</w:t>
            </w:r>
            <w:r w:rsidR="0025540D">
              <w:rPr>
                <w:b/>
                <w:sz w:val="22"/>
                <w:szCs w:val="22"/>
              </w:rPr>
              <w:t>0,5</w:t>
            </w:r>
          </w:p>
          <w:p w:rsidR="00737B4B" w:rsidRPr="009E7B8A" w:rsidRDefault="00D60ABA" w:rsidP="00F558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</w:t>
            </w:r>
            <w:r w:rsidR="00F558F0">
              <w:rPr>
                <w:b/>
                <w:sz w:val="22"/>
                <w:szCs w:val="22"/>
              </w:rPr>
              <w:t>0,5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37B4B" w:rsidRDefault="000B252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37B4B" w:rsidRDefault="00737B4B" w:rsidP="009E7B8A">
            <w:pPr>
              <w:jc w:val="center"/>
              <w:rPr>
                <w:b/>
                <w:sz w:val="22"/>
                <w:szCs w:val="22"/>
              </w:rPr>
            </w:pPr>
            <w:r w:rsidRPr="00737B4B"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420F6"/>
    <w:multiLevelType w:val="hybridMultilevel"/>
    <w:tmpl w:val="53E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34C4D"/>
    <w:multiLevelType w:val="hybridMultilevel"/>
    <w:tmpl w:val="ECA2A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1159E"/>
    <w:multiLevelType w:val="hybridMultilevel"/>
    <w:tmpl w:val="B0961932"/>
    <w:lvl w:ilvl="0" w:tplc="FA6A62DC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61D"/>
    <w:rsid w:val="000B2522"/>
    <w:rsid w:val="001576BD"/>
    <w:rsid w:val="00197A57"/>
    <w:rsid w:val="001C3876"/>
    <w:rsid w:val="002370F7"/>
    <w:rsid w:val="0025540D"/>
    <w:rsid w:val="002638A5"/>
    <w:rsid w:val="00351D27"/>
    <w:rsid w:val="003A4A85"/>
    <w:rsid w:val="003A7F5C"/>
    <w:rsid w:val="003B4A7B"/>
    <w:rsid w:val="003B6CCA"/>
    <w:rsid w:val="003F210A"/>
    <w:rsid w:val="00416716"/>
    <w:rsid w:val="00466583"/>
    <w:rsid w:val="004776A3"/>
    <w:rsid w:val="0050790E"/>
    <w:rsid w:val="005A5B46"/>
    <w:rsid w:val="005A6FEE"/>
    <w:rsid w:val="006A40BB"/>
    <w:rsid w:val="006C4E0D"/>
    <w:rsid w:val="006C5736"/>
    <w:rsid w:val="006D00F6"/>
    <w:rsid w:val="00737B4B"/>
    <w:rsid w:val="00756371"/>
    <w:rsid w:val="00801B19"/>
    <w:rsid w:val="008020D5"/>
    <w:rsid w:val="008164DB"/>
    <w:rsid w:val="008C358C"/>
    <w:rsid w:val="0092289A"/>
    <w:rsid w:val="009E7B8A"/>
    <w:rsid w:val="009F5760"/>
    <w:rsid w:val="009F7F5D"/>
    <w:rsid w:val="00A03B67"/>
    <w:rsid w:val="00A0703A"/>
    <w:rsid w:val="00A847CC"/>
    <w:rsid w:val="00AB0CE4"/>
    <w:rsid w:val="00AC7584"/>
    <w:rsid w:val="00B62FB3"/>
    <w:rsid w:val="00BD40C0"/>
    <w:rsid w:val="00BD6ED1"/>
    <w:rsid w:val="00BF53EC"/>
    <w:rsid w:val="00C4047A"/>
    <w:rsid w:val="00C60C15"/>
    <w:rsid w:val="00C753F6"/>
    <w:rsid w:val="00C83126"/>
    <w:rsid w:val="00CF735E"/>
    <w:rsid w:val="00D41444"/>
    <w:rsid w:val="00D466D8"/>
    <w:rsid w:val="00D60ABA"/>
    <w:rsid w:val="00E32F86"/>
    <w:rsid w:val="00E40B0C"/>
    <w:rsid w:val="00EA2C4A"/>
    <w:rsid w:val="00F22F4E"/>
    <w:rsid w:val="00F23729"/>
    <w:rsid w:val="00F24019"/>
    <w:rsid w:val="00F368D3"/>
    <w:rsid w:val="00F40A99"/>
    <w:rsid w:val="00F558F0"/>
    <w:rsid w:val="00FA2E58"/>
    <w:rsid w:val="00FB59F7"/>
    <w:rsid w:val="00FB6AA9"/>
    <w:rsid w:val="00FC3315"/>
    <w:rsid w:val="00FD7A2E"/>
    <w:rsid w:val="00FE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847CC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847CC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351D2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1277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29</cp:revision>
  <dcterms:created xsi:type="dcterms:W3CDTF">2019-06-06T08:36:00Z</dcterms:created>
  <dcterms:modified xsi:type="dcterms:W3CDTF">2019-07-02T16:25:00Z</dcterms:modified>
</cp:coreProperties>
</file>